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0F" w:rsidRPr="007A050F" w:rsidRDefault="007A050F" w:rsidP="007A050F">
      <w:pPr>
        <w:spacing w:before="100" w:beforeAutospacing="1" w:after="150" w:line="240" w:lineRule="auto"/>
        <w:jc w:val="right"/>
        <w:textAlignment w:val="top"/>
        <w:rPr>
          <w:rFonts w:ascii="Tahoma" w:eastAsia="Times New Roman" w:hAnsi="Tahoma" w:cs="Tahoma"/>
          <w:bCs/>
          <w:color w:val="211E1F"/>
          <w:sz w:val="21"/>
          <w:szCs w:val="21"/>
          <w:lang w:eastAsia="ru-RU"/>
        </w:rPr>
      </w:pPr>
      <w:bookmarkStart w:id="0" w:name="_GoBack"/>
      <w:bookmarkEnd w:id="0"/>
      <w:r w:rsidRPr="007A050F">
        <w:rPr>
          <w:rFonts w:ascii="Tahoma" w:eastAsia="Times New Roman" w:hAnsi="Tahoma" w:cs="Tahoma"/>
          <w:bCs/>
          <w:color w:val="211E1F"/>
          <w:sz w:val="21"/>
          <w:szCs w:val="21"/>
          <w:lang w:eastAsia="ru-RU"/>
        </w:rPr>
        <w:t>Приложение №4</w:t>
      </w:r>
    </w:p>
    <w:p w:rsidR="007A050F" w:rsidRDefault="007A050F" w:rsidP="007A050F">
      <w:pPr>
        <w:spacing w:before="100" w:beforeAutospacing="1" w:after="15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211E1F"/>
          <w:sz w:val="21"/>
          <w:szCs w:val="21"/>
          <w:lang w:eastAsia="ru-RU"/>
        </w:rPr>
      </w:pPr>
    </w:p>
    <w:p w:rsidR="007A050F" w:rsidRPr="007A050F" w:rsidRDefault="007A050F" w:rsidP="007A050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Разъяснение основных терминов</w:t>
      </w:r>
    </w:p>
    <w:p w:rsidR="007A050F" w:rsidRPr="007A050F" w:rsidRDefault="007A050F" w:rsidP="007A050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 xml:space="preserve">Конкурса по выделению грантов </w:t>
      </w:r>
      <w:proofErr w:type="gramStart"/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для</w:t>
      </w:r>
      <w:proofErr w:type="gramEnd"/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 xml:space="preserve"> неправительственных</w:t>
      </w:r>
    </w:p>
    <w:p w:rsidR="007A050F" w:rsidRPr="007A050F" w:rsidRDefault="007A050F" w:rsidP="007A050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некоммерческих организаций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1.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 xml:space="preserve"> Грант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целевые денежные средства, которые предоставляются организациям безвозмездно на осуществление конкретных социально-значимых программ. </w:t>
      </w:r>
      <w:proofErr w:type="spell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Грантополучатель</w:t>
      </w:r>
      <w:proofErr w:type="spell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обязан в соответствии с Налоговым кодексом РФ предоставить отчёт об использовании полученных сре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дств гр</w:t>
      </w:r>
      <w:proofErr w:type="gram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анта.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Средства гранта могут предоставляться и соответственно расходоваться только на осуществление программ и проектов в таких областях, как образование, искусство, культура, наука, физическая культура и спорт (за исключением профессионального спорта), охрана здоровья, охрана окружающей среды, защита прав и свобод человека и гражданина, социальное обслуживание малоимущих и социально незащищенных категорий граждан (</w:t>
      </w:r>
      <w:proofErr w:type="spell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пп</w:t>
      </w:r>
      <w:proofErr w:type="spell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. 14 п. 1 ст. 251 Налоговый кодекс РФ);</w:t>
      </w:r>
      <w:proofErr w:type="gramEnd"/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2.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Некоммерческая организация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Такие организации создаются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Для того чтобы участвовать в Конкурсе, некоммерческая организация должна быть зарегистрирована как юридическое лицо в Российской Федерации.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2.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Некоммерческая неправительственная организация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некоммерческая организация, учредителями либо участниками которой не являются государственные (как федеральные, так и региональные) или муниципальные органы.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В частности, НЕ являются неправительственными организациями и НЕ могут участвовать в Конкурсе: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государственные корпорации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государственные компании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государственные и муниципальные автономные, бюджетные и казённые учреждения.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3.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Молодежные инициативы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проекты, программы, мероприятия проведение и реализация которых предложена молодежью (молодые люди в возрасте от 14 до 30 лет) или молодёжными некоммерческими организациями.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4.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Молодежные движения и организации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это, во-первых, молодёжные общественные объединения. К ним относятся в соответствии с ФЗ «Об общественных объединениях» объединения, уставом которых допускается членство (участие) граждан с 14 лет, а так же ассоциации и союзы, объединяющие такие общественные объединения. Во-вторых, к молодёжным организациям можно отнести и другие некоммерческие организации, созданные (учреждённые) молодёжью либо в деятельности которых участвует, прежде всего, молодёжь.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lastRenderedPageBreak/>
        <w:t xml:space="preserve">         5.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Образовательный процесс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процесс обучения, воспитания и развития в рамках реализации образовательных программ или программ отдельных учебных курсов, предметов, дисциплин, осуществляемый организацией (или индивидуальным предпринимателем), осуществляющей образовательную деятельность, а также процесс обучения в форме семейного образования или самообразования.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6.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Научные разработки молодежи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деятельность молодежи, направленная на получение и применение новых знаний для решения технологических, инженерных, экономических, социальных и иных проблем, обеспечения функционирования науки, техники и производства.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7.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Гибкие формы занятости женщин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нестандартные формы занятости женщин, допускающие </w:t>
      </w:r>
      <w:proofErr w:type="spellStart"/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бо́льшую</w:t>
      </w:r>
      <w:proofErr w:type="spellEnd"/>
      <w:proofErr w:type="gram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степень свободы действия, самостоятельности на работе при значительно меньшей (по сравнению со стандартной, традиционной занятостью) внешней регламентации в организации их труда. К гибким формам занятости женщин можно отнести такие режимы работы, как: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дистанционная работа, работа на дому;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работа со свободным режимом;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работа с неполной рабочей неделей, с неполным рабочим днем;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работа со сменным графиком и др.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8.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Профессиональная переподготовка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  вид дополнительного образования, позволяющий работнику за сравнительно короткое время получить новую профессию на основе уже имеющейся, либо получить дополнительную квалификацию по имеющейся профессии.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9.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Рабочие и инженерные специальности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обобщенно, технические специальности. 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По другому, это можно определить как комплекс приобретаемых путём специальной подготовки и опыта работы знаний, умений и навыков, необходимых для прикладной деятельности по созданию, развитию и использованию техники и явлений, связанных с взаимодействием человека с техникой.</w:t>
      </w:r>
      <w:proofErr w:type="gramEnd"/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Техническую (рабочую, инженерную) специальность в России можно получить в рамках профессионального образования по программам среднего профессионального и высшего профессионального образования, дополнительного профессионального образования. Ранее указанные специальности можно было получить также в рамках начального профессионального образования.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Распространены следующие основные группы технических специальностей: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Инженерная геометрия и компьютерная графика;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Машиностроение и машиноведение;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Энергетическое, металлургическое и химическое машиностроение;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Транспортное, горное и строительное машиностроение;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Авиационная и ракетно-космическая техника;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Кораблестроение;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Электротехника;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Приборостроение, метрология и информационно-измерительные приборы и системы;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Радиотехника и связь;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Информатика, вычислительная техника и управление;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Энергетика;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Металлургия и материаловедение;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Химическая технология;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Технология продовольственных продуктов;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Технология материалов и изделий текстильной и легкой промышленности;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lastRenderedPageBreak/>
        <w:t xml:space="preserve">         - Процессы и машины </w:t>
      </w:r>
      <w:proofErr w:type="spell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агроинженерных</w:t>
      </w:r>
      <w:proofErr w:type="spell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систем;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Технология, машины и оборудование лесозаготовок, лесного хозяйства, деревопереработки и химической переработки биомассы дерева;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Транспорт;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Строительство и архитектура;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Безопасность деятельности человека;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- Электроника.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10.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Срок государственной регистрации юридического лица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 – время, прошедшее с момента государственной регистрации юридического лица. Моментом государственной регистрации признается внесение записи о регистрации в Единый государственный реестр юридических лиц  (ЕГРЮЛ), о чем выдается соответствующее свидетельство.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11.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Ликвидация юридического лица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прекращение существования юридического лица путём внесения соответствующей записи в Единый государственный реестр юридических лиц, а также весь юридический процесс и процедура, связанные с таким прекращением существования.     Процесс ликвидации начинается с принятия решения о ликвидации уполномоченными лицами или органами и завершается в момент внесения записи о ликвидации в ЕГРЮЛ. То, что организация находится в процессе ликвидации, делается соответствующая запись в ЕГРЮЛ.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12.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Реорганизация юридического лица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прекращение или иное изменение правового положения юридического лица, влекущее отношения правопреемства юридических лиц.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Осуществляется в форме слияния, присоединения, разделения, выделения или преобразования. Процесс реорганизации начинается с момента принятия соответствующего решения уполномоченным лицом или органом. Юридическое лицо считается реорганизованным с момента государственной регистрации вновь возникших юридических лиц, а при преобразовании – с момента внесения в единый государственный реестр юридических лиц записи о прекращении деятельности реорганизованного юридического лица.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То, что организация находится в процессе ликвидации, делается соответствующая запись в ЕГРЮЛ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13.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 xml:space="preserve">Социально значимая деятельность некоммерческих неправительственных организаций 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– деятельность ННО, направленная на решение актуальных социальных проблем в области образования, искусства, культуры, науки, физической культуры, охраны здоровья, охраны окружающей среды, защиты прав и свобод граждан, социального обслуживания малоимущих и социально незащищенных категорий граждан. 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Социально значимая деятельность ННО осуществляется так же в видах, по которым законодательство относит ННО к социально ориентированным некоммерческим организациям (ст. 31.1.</w:t>
      </w:r>
      <w:proofErr w:type="gram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ФЗ «О некоммерческих организациях).</w:t>
      </w:r>
      <w:proofErr w:type="gramEnd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Решение социальных проблем, как правило, подразумевает оказание помощи и поддержки третьим лицам, а не исключительно членам организации.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14.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Выписка из Единого государственного реестра юридических лиц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документ, содержащий в себе сведения о юридическом лице, полученные из Единого государственного реестра юридических лиц (далее – ЕГРЮЛ). Для подачи заявки на Конкурс копия должна быть снята с официальной выписки.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>         Выписка из ЕГРЮЛ выдаётся территориальным органом Федеральной налоговой службы России, заверяется гербовой печатью этого органа. Если  объем выписки превышает 1 лист, листы должны быть прошиты, пронумерованы, скреплены печатью и подписью в месте прошивки. </w:t>
      </w:r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lastRenderedPageBreak/>
        <w:t xml:space="preserve">         15.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Учредительные документы юридического лица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- это документы, служащие основанием для деятельности юридического лица. </w:t>
      </w:r>
      <w:proofErr w:type="gramStart"/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К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учредительным и правоустанавливающим документам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некоммерческой неправительственной организации как юридического лица относятся такие документы, как устав, учредительный договор, свидетельство о регистрации юридического лица, свидетельство о регистрации внесения изменений в учредительные документы, свидетельство о внесении сведений о юридическом лице, созданном до 1 июля 2002 г., выдаваемые налоговым органом, свидетельство о регистрации некоммерческой организации, выдаваемое органом юстиции.</w:t>
      </w:r>
      <w:proofErr w:type="gramEnd"/>
    </w:p>
    <w:p w:rsidR="007A050F" w:rsidRPr="007A050F" w:rsidRDefault="007A050F" w:rsidP="007A050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1E1F"/>
          <w:sz w:val="24"/>
          <w:szCs w:val="24"/>
          <w:lang w:eastAsia="ru-RU"/>
        </w:rPr>
      </w:pP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         16. </w:t>
      </w:r>
      <w:r w:rsidRPr="007A050F">
        <w:rPr>
          <w:rFonts w:ascii="Arial" w:eastAsia="Times New Roman" w:hAnsi="Arial" w:cs="Arial"/>
          <w:b/>
          <w:bCs/>
          <w:color w:val="211E1F"/>
          <w:sz w:val="24"/>
          <w:szCs w:val="24"/>
          <w:lang w:eastAsia="ru-RU"/>
        </w:rPr>
        <w:t>Письмо-уведомление</w:t>
      </w:r>
      <w:r w:rsidRPr="007A050F">
        <w:rPr>
          <w:rFonts w:ascii="Arial" w:eastAsia="Times New Roman" w:hAnsi="Arial" w:cs="Arial"/>
          <w:color w:val="211E1F"/>
          <w:sz w:val="24"/>
          <w:szCs w:val="24"/>
          <w:lang w:eastAsia="ru-RU"/>
        </w:rPr>
        <w:t xml:space="preserve"> – письмо, которое несет в себе официальную информацию, представляющую ценность для адресата. Такие письма составляются на официальных бланках организации, содержат все реквизиты (элементы письма), подписываются руководителем организации, имеющим право без доверенности действовать от имени организации.</w:t>
      </w:r>
    </w:p>
    <w:p w:rsidR="00092DB6" w:rsidRDefault="00092DB6"/>
    <w:sectPr w:rsidR="00092D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C5" w:rsidRDefault="005064C5" w:rsidP="00C815BA">
      <w:pPr>
        <w:spacing w:after="0" w:line="240" w:lineRule="auto"/>
      </w:pPr>
      <w:r>
        <w:separator/>
      </w:r>
    </w:p>
  </w:endnote>
  <w:endnote w:type="continuationSeparator" w:id="0">
    <w:p w:rsidR="005064C5" w:rsidRDefault="005064C5" w:rsidP="00C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C5" w:rsidRDefault="005064C5" w:rsidP="00C815BA">
      <w:pPr>
        <w:spacing w:after="0" w:line="240" w:lineRule="auto"/>
      </w:pPr>
      <w:r>
        <w:separator/>
      </w:r>
    </w:p>
  </w:footnote>
  <w:footnote w:type="continuationSeparator" w:id="0">
    <w:p w:rsidR="005064C5" w:rsidRDefault="005064C5" w:rsidP="00C8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785666"/>
      <w:docPartObj>
        <w:docPartGallery w:val="Page Numbers (Top of Page)"/>
        <w:docPartUnique/>
      </w:docPartObj>
    </w:sdtPr>
    <w:sdtContent>
      <w:p w:rsidR="00C815BA" w:rsidRDefault="00C815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15BA" w:rsidRDefault="00C815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C"/>
    <w:rsid w:val="00092DB6"/>
    <w:rsid w:val="005064C5"/>
    <w:rsid w:val="007832EC"/>
    <w:rsid w:val="007A050F"/>
    <w:rsid w:val="00C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0F"/>
    <w:rPr>
      <w:b/>
      <w:bCs/>
    </w:rPr>
  </w:style>
  <w:style w:type="paragraph" w:styleId="a4">
    <w:name w:val="Normal (Web)"/>
    <w:basedOn w:val="a"/>
    <w:uiPriority w:val="99"/>
    <w:semiHidden/>
    <w:unhideWhenUsed/>
    <w:rsid w:val="007A050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5BA"/>
  </w:style>
  <w:style w:type="paragraph" w:styleId="a7">
    <w:name w:val="footer"/>
    <w:basedOn w:val="a"/>
    <w:link w:val="a8"/>
    <w:uiPriority w:val="99"/>
    <w:unhideWhenUsed/>
    <w:rsid w:val="00C8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5BA"/>
  </w:style>
  <w:style w:type="paragraph" w:styleId="a9">
    <w:name w:val="Balloon Text"/>
    <w:basedOn w:val="a"/>
    <w:link w:val="aa"/>
    <w:uiPriority w:val="99"/>
    <w:semiHidden/>
    <w:unhideWhenUsed/>
    <w:rsid w:val="00C8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0F"/>
    <w:rPr>
      <w:b/>
      <w:bCs/>
    </w:rPr>
  </w:style>
  <w:style w:type="paragraph" w:styleId="a4">
    <w:name w:val="Normal (Web)"/>
    <w:basedOn w:val="a"/>
    <w:uiPriority w:val="99"/>
    <w:semiHidden/>
    <w:unhideWhenUsed/>
    <w:rsid w:val="007A050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5BA"/>
  </w:style>
  <w:style w:type="paragraph" w:styleId="a7">
    <w:name w:val="footer"/>
    <w:basedOn w:val="a"/>
    <w:link w:val="a8"/>
    <w:uiPriority w:val="99"/>
    <w:unhideWhenUsed/>
    <w:rsid w:val="00C8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5BA"/>
  </w:style>
  <w:style w:type="paragraph" w:styleId="a9">
    <w:name w:val="Balloon Text"/>
    <w:basedOn w:val="a"/>
    <w:link w:val="aa"/>
    <w:uiPriority w:val="99"/>
    <w:semiHidden/>
    <w:unhideWhenUsed/>
    <w:rsid w:val="00C8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cp:lastPrinted>2013-06-11T09:02:00Z</cp:lastPrinted>
  <dcterms:created xsi:type="dcterms:W3CDTF">2013-06-10T12:07:00Z</dcterms:created>
  <dcterms:modified xsi:type="dcterms:W3CDTF">2013-06-11T09:03:00Z</dcterms:modified>
</cp:coreProperties>
</file>